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D2" w:rsidRDefault="004838A3">
      <w:pPr>
        <w:spacing w:after="0"/>
      </w:pPr>
      <w:r>
        <w:rPr>
          <w:rFonts w:ascii="Garamond" w:eastAsia="Garamond" w:hAnsi="Garamond" w:cs="Garamond"/>
          <w:b/>
          <w:sz w:val="32"/>
        </w:rPr>
        <w:t xml:space="preserve">Undervisningsbeskrivelse  </w:t>
      </w:r>
    </w:p>
    <w:p w:rsidR="00A214D2" w:rsidRDefault="004838A3">
      <w:pPr>
        <w:spacing w:after="11"/>
      </w:pPr>
      <w:r>
        <w:rPr>
          <w:rFonts w:ascii="Garamond" w:eastAsia="Garamond" w:hAnsi="Garamond" w:cs="Garamond"/>
          <w:sz w:val="24"/>
        </w:rPr>
        <w:t xml:space="preserve"> </w:t>
      </w:r>
    </w:p>
    <w:p w:rsidR="00A214D2" w:rsidRDefault="004838A3">
      <w:pPr>
        <w:spacing w:after="0"/>
        <w:ind w:left="-5" w:hanging="10"/>
      </w:pPr>
      <w:r>
        <w:rPr>
          <w:rFonts w:ascii="Garamond" w:eastAsia="Garamond" w:hAnsi="Garamond" w:cs="Garamond"/>
          <w:b/>
          <w:sz w:val="28"/>
        </w:rPr>
        <w:t xml:space="preserve">Stamoplysninger til brug ved prøver til gymnasiale uddannelser </w:t>
      </w:r>
      <w:r>
        <w:rPr>
          <w:rFonts w:ascii="Garamond" w:eastAsia="Garamond" w:hAnsi="Garamond" w:cs="Garamond"/>
          <w:b/>
          <w:sz w:val="24"/>
        </w:rPr>
        <w:t xml:space="preserve"> </w:t>
      </w:r>
    </w:p>
    <w:p w:rsidR="00A214D2" w:rsidRDefault="004838A3">
      <w:pPr>
        <w:spacing w:after="0"/>
      </w:pPr>
      <w:r>
        <w:rPr>
          <w:rFonts w:ascii="Garamond" w:eastAsia="Garamond" w:hAnsi="Garamond" w:cs="Garamond"/>
          <w:sz w:val="24"/>
        </w:rPr>
        <w:t xml:space="preserve"> </w:t>
      </w:r>
    </w:p>
    <w:tbl>
      <w:tblPr>
        <w:tblStyle w:val="TableGrid"/>
        <w:tblW w:w="9907" w:type="dxa"/>
        <w:tblInd w:w="5" w:type="dxa"/>
        <w:tblCellMar>
          <w:top w:w="88" w:type="dxa"/>
          <w:left w:w="110" w:type="dxa"/>
          <w:right w:w="115" w:type="dxa"/>
        </w:tblCellMar>
        <w:tblLook w:val="04A0" w:firstRow="1" w:lastRow="0" w:firstColumn="1" w:lastColumn="0" w:noHBand="0" w:noVBand="1"/>
      </w:tblPr>
      <w:tblGrid>
        <w:gridCol w:w="1908"/>
        <w:gridCol w:w="7999"/>
      </w:tblGrid>
      <w:tr w:rsidR="00A214D2">
        <w:trPr>
          <w:trHeight w:val="310"/>
        </w:trPr>
        <w:tc>
          <w:tcPr>
            <w:tcW w:w="1908"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b/>
                <w:sz w:val="24"/>
              </w:rPr>
              <w:t xml:space="preserve">Termin </w:t>
            </w:r>
          </w:p>
        </w:tc>
        <w:tc>
          <w:tcPr>
            <w:tcW w:w="7998"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 xml:space="preserve"> </w:t>
            </w:r>
            <w:r w:rsidR="00695D31">
              <w:rPr>
                <w:rFonts w:ascii="Garamond" w:eastAsia="Garamond" w:hAnsi="Garamond" w:cs="Garamond"/>
                <w:sz w:val="24"/>
              </w:rPr>
              <w:t>Dec.</w:t>
            </w:r>
            <w:r w:rsidR="001B583A">
              <w:rPr>
                <w:rFonts w:ascii="Garamond" w:eastAsia="Garamond" w:hAnsi="Garamond" w:cs="Garamond"/>
                <w:sz w:val="24"/>
              </w:rPr>
              <w:t xml:space="preserve"> 2020</w:t>
            </w:r>
          </w:p>
        </w:tc>
      </w:tr>
      <w:tr w:rsidR="00A214D2">
        <w:trPr>
          <w:trHeight w:val="550"/>
        </w:trPr>
        <w:tc>
          <w:tcPr>
            <w:tcW w:w="190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Institution </w:t>
            </w:r>
          </w:p>
        </w:tc>
        <w:tc>
          <w:tcPr>
            <w:tcW w:w="799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VUC Roskilde </w:t>
            </w:r>
          </w:p>
        </w:tc>
      </w:tr>
      <w:tr w:rsidR="00A214D2">
        <w:trPr>
          <w:trHeight w:val="550"/>
        </w:trPr>
        <w:tc>
          <w:tcPr>
            <w:tcW w:w="190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Uddannelse </w:t>
            </w:r>
          </w:p>
        </w:tc>
        <w:tc>
          <w:tcPr>
            <w:tcW w:w="799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sz w:val="24"/>
              </w:rPr>
              <w:t>HF, valgfag</w:t>
            </w:r>
            <w:r>
              <w:rPr>
                <w:rFonts w:ascii="Garamond" w:eastAsia="Garamond" w:hAnsi="Garamond" w:cs="Garamond"/>
                <w:b/>
                <w:sz w:val="24"/>
              </w:rPr>
              <w:t xml:space="preserve"> </w:t>
            </w:r>
          </w:p>
        </w:tc>
      </w:tr>
      <w:tr w:rsidR="00A214D2">
        <w:trPr>
          <w:trHeight w:val="550"/>
        </w:trPr>
        <w:tc>
          <w:tcPr>
            <w:tcW w:w="190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Fag og niveau </w:t>
            </w:r>
          </w:p>
        </w:tc>
        <w:tc>
          <w:tcPr>
            <w:tcW w:w="799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sz w:val="24"/>
              </w:rPr>
              <w:t xml:space="preserve">Filosofi C   </w:t>
            </w:r>
            <w:r>
              <w:rPr>
                <w:rFonts w:ascii="Garamond" w:eastAsia="Garamond" w:hAnsi="Garamond" w:cs="Garamond"/>
                <w:b/>
                <w:sz w:val="24"/>
              </w:rPr>
              <w:t xml:space="preserve"> </w:t>
            </w:r>
          </w:p>
        </w:tc>
      </w:tr>
      <w:tr w:rsidR="00A214D2">
        <w:trPr>
          <w:trHeight w:val="552"/>
        </w:trPr>
        <w:tc>
          <w:tcPr>
            <w:tcW w:w="190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Lærer(e) </w:t>
            </w:r>
          </w:p>
        </w:tc>
        <w:tc>
          <w:tcPr>
            <w:tcW w:w="799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sz w:val="24"/>
              </w:rPr>
              <w:t>Peter Friis</w:t>
            </w:r>
            <w:r>
              <w:rPr>
                <w:rFonts w:ascii="Garamond" w:eastAsia="Garamond" w:hAnsi="Garamond" w:cs="Garamond"/>
                <w:b/>
                <w:sz w:val="24"/>
              </w:rPr>
              <w:t xml:space="preserve"> </w:t>
            </w:r>
          </w:p>
        </w:tc>
      </w:tr>
      <w:tr w:rsidR="00A214D2">
        <w:trPr>
          <w:trHeight w:val="550"/>
        </w:trPr>
        <w:tc>
          <w:tcPr>
            <w:tcW w:w="190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Hold </w:t>
            </w:r>
          </w:p>
        </w:tc>
        <w:tc>
          <w:tcPr>
            <w:tcW w:w="7998" w:type="dxa"/>
            <w:tcBorders>
              <w:top w:val="single" w:sz="4" w:space="0" w:color="000000"/>
              <w:left w:val="single" w:sz="4" w:space="0" w:color="000000"/>
              <w:bottom w:val="single" w:sz="4" w:space="0" w:color="000000"/>
              <w:right w:val="single" w:sz="4" w:space="0" w:color="000000"/>
            </w:tcBorders>
            <w:vAlign w:val="center"/>
          </w:tcPr>
          <w:p w:rsidR="00A214D2" w:rsidRDefault="00695D31">
            <w:r>
              <w:rPr>
                <w:rFonts w:ascii="Garamond" w:eastAsia="Garamond" w:hAnsi="Garamond" w:cs="Garamond"/>
                <w:b/>
                <w:sz w:val="24"/>
              </w:rPr>
              <w:t>Zfice1</w:t>
            </w:r>
            <w:bookmarkStart w:id="0" w:name="_GoBack"/>
            <w:bookmarkEnd w:id="0"/>
          </w:p>
        </w:tc>
      </w:tr>
      <w:tr w:rsidR="00A214D2">
        <w:trPr>
          <w:trHeight w:val="1150"/>
        </w:trPr>
        <w:tc>
          <w:tcPr>
            <w:tcW w:w="9907" w:type="dxa"/>
            <w:gridSpan w:val="2"/>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sz w:val="24"/>
              </w:rPr>
              <w:t xml:space="preserve">Holdet er et såkaldt ’E-hold’. ’Holdet’ har ikke fulgt undervisning, men kursisterne har arbejdet selvstændigt ved at være tilknyttet VUC Roskildes elektroniske platform ’Fronter’. Kursisterne har kunnet få respons på en række skriftlige modulopgaver, og de har kunnet få vejledning. </w:t>
            </w:r>
          </w:p>
        </w:tc>
      </w:tr>
    </w:tbl>
    <w:p w:rsidR="00A214D2" w:rsidRDefault="004838A3">
      <w:pPr>
        <w:spacing w:after="6"/>
      </w:pPr>
      <w:r>
        <w:rPr>
          <w:rFonts w:ascii="Garamond" w:eastAsia="Garamond" w:hAnsi="Garamond" w:cs="Garamond"/>
          <w:sz w:val="24"/>
        </w:rPr>
        <w:t xml:space="preserve"> </w:t>
      </w:r>
    </w:p>
    <w:p w:rsidR="00A214D2" w:rsidRDefault="004838A3">
      <w:pPr>
        <w:spacing w:after="0"/>
      </w:pPr>
      <w:r>
        <w:rPr>
          <w:rFonts w:ascii="Garamond" w:eastAsia="Garamond" w:hAnsi="Garamond" w:cs="Garamond"/>
          <w:b/>
          <w:sz w:val="28"/>
        </w:rPr>
        <w:t xml:space="preserve"> </w:t>
      </w:r>
    </w:p>
    <w:p w:rsidR="00A214D2" w:rsidRDefault="004838A3">
      <w:pPr>
        <w:spacing w:after="0"/>
        <w:ind w:left="-5" w:hanging="10"/>
      </w:pPr>
      <w:r>
        <w:rPr>
          <w:rFonts w:ascii="Garamond" w:eastAsia="Garamond" w:hAnsi="Garamond" w:cs="Garamond"/>
          <w:b/>
          <w:sz w:val="28"/>
        </w:rPr>
        <w:t xml:space="preserve">Oversigt over gennemførte undervisningsforløb </w:t>
      </w:r>
    </w:p>
    <w:p w:rsidR="00A214D2" w:rsidRDefault="004838A3">
      <w:pPr>
        <w:spacing w:after="0"/>
      </w:pPr>
      <w:r>
        <w:rPr>
          <w:rFonts w:ascii="Garamond" w:eastAsia="Garamond" w:hAnsi="Garamond" w:cs="Garamond"/>
          <w:sz w:val="24"/>
        </w:rPr>
        <w:t xml:space="preserve"> </w:t>
      </w:r>
    </w:p>
    <w:tbl>
      <w:tblPr>
        <w:tblStyle w:val="TableGrid"/>
        <w:tblW w:w="9926" w:type="dxa"/>
        <w:tblInd w:w="5" w:type="dxa"/>
        <w:tblCellMar>
          <w:left w:w="110" w:type="dxa"/>
          <w:right w:w="115" w:type="dxa"/>
        </w:tblCellMar>
        <w:tblLook w:val="04A0" w:firstRow="1" w:lastRow="0" w:firstColumn="1" w:lastColumn="0" w:noHBand="0" w:noVBand="1"/>
      </w:tblPr>
      <w:tblGrid>
        <w:gridCol w:w="1908"/>
        <w:gridCol w:w="8018"/>
      </w:tblGrid>
      <w:tr w:rsidR="00A214D2">
        <w:trPr>
          <w:trHeight w:val="550"/>
        </w:trPr>
        <w:tc>
          <w:tcPr>
            <w:tcW w:w="190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Titel 1 </w:t>
            </w:r>
          </w:p>
        </w:tc>
        <w:tc>
          <w:tcPr>
            <w:tcW w:w="801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sz w:val="24"/>
              </w:rPr>
              <w:t xml:space="preserve">Den retfærdige stat </w:t>
            </w:r>
          </w:p>
        </w:tc>
      </w:tr>
      <w:tr w:rsidR="00A214D2">
        <w:trPr>
          <w:trHeight w:val="550"/>
        </w:trPr>
        <w:tc>
          <w:tcPr>
            <w:tcW w:w="190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Titel 2 </w:t>
            </w:r>
          </w:p>
        </w:tc>
        <w:tc>
          <w:tcPr>
            <w:tcW w:w="801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sz w:val="24"/>
              </w:rPr>
              <w:t xml:space="preserve">Det etisk rigtige </w:t>
            </w:r>
          </w:p>
        </w:tc>
      </w:tr>
      <w:tr w:rsidR="00A214D2">
        <w:trPr>
          <w:trHeight w:val="550"/>
        </w:trPr>
        <w:tc>
          <w:tcPr>
            <w:tcW w:w="190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b/>
                <w:sz w:val="24"/>
              </w:rPr>
              <w:t xml:space="preserve">Titel 3 </w:t>
            </w:r>
          </w:p>
        </w:tc>
        <w:tc>
          <w:tcPr>
            <w:tcW w:w="8018" w:type="dxa"/>
            <w:tcBorders>
              <w:top w:val="single" w:sz="4" w:space="0" w:color="000000"/>
              <w:left w:val="single" w:sz="4" w:space="0" w:color="000000"/>
              <w:bottom w:val="single" w:sz="4" w:space="0" w:color="000000"/>
              <w:right w:val="single" w:sz="4" w:space="0" w:color="000000"/>
            </w:tcBorders>
            <w:vAlign w:val="center"/>
          </w:tcPr>
          <w:p w:rsidR="00A214D2" w:rsidRDefault="004838A3">
            <w:r>
              <w:rPr>
                <w:rFonts w:ascii="Garamond" w:eastAsia="Garamond" w:hAnsi="Garamond" w:cs="Garamond"/>
                <w:sz w:val="24"/>
              </w:rPr>
              <w:t xml:space="preserve">Videnskabsfilosofi </w:t>
            </w:r>
          </w:p>
        </w:tc>
      </w:tr>
    </w:tbl>
    <w:p w:rsidR="00A214D2" w:rsidRDefault="004838A3">
      <w:pPr>
        <w:spacing w:after="45"/>
        <w:rPr>
          <w:rFonts w:ascii="Garamond" w:eastAsia="Garamond" w:hAnsi="Garamond" w:cs="Garamond"/>
          <w:sz w:val="24"/>
        </w:rPr>
      </w:pPr>
      <w:r>
        <w:rPr>
          <w:rFonts w:ascii="Garamond" w:eastAsia="Garamond" w:hAnsi="Garamond" w:cs="Garamond"/>
          <w:sz w:val="24"/>
        </w:rPr>
        <w:t xml:space="preserve"> </w:t>
      </w:r>
    </w:p>
    <w:p w:rsidR="004838A3" w:rsidRDefault="004838A3">
      <w:pPr>
        <w:spacing w:after="45"/>
        <w:rPr>
          <w:rFonts w:ascii="Garamond" w:eastAsia="Garamond" w:hAnsi="Garamond" w:cs="Garamond"/>
          <w:sz w:val="24"/>
        </w:rPr>
      </w:pPr>
    </w:p>
    <w:p w:rsidR="004838A3" w:rsidRDefault="004838A3">
      <w:pPr>
        <w:spacing w:after="45"/>
        <w:rPr>
          <w:rFonts w:ascii="Garamond" w:eastAsia="Garamond" w:hAnsi="Garamond" w:cs="Garamond"/>
          <w:sz w:val="24"/>
        </w:rPr>
      </w:pPr>
    </w:p>
    <w:p w:rsidR="004838A3" w:rsidRDefault="004838A3">
      <w:pPr>
        <w:spacing w:after="45"/>
        <w:rPr>
          <w:rFonts w:ascii="Garamond" w:eastAsia="Garamond" w:hAnsi="Garamond" w:cs="Garamond"/>
          <w:sz w:val="24"/>
        </w:rPr>
      </w:pPr>
    </w:p>
    <w:p w:rsidR="004838A3" w:rsidRDefault="004838A3">
      <w:pPr>
        <w:spacing w:after="45"/>
        <w:rPr>
          <w:rFonts w:ascii="Garamond" w:eastAsia="Garamond" w:hAnsi="Garamond" w:cs="Garamond"/>
          <w:sz w:val="24"/>
        </w:rPr>
      </w:pPr>
    </w:p>
    <w:p w:rsidR="004838A3" w:rsidRDefault="004838A3">
      <w:pPr>
        <w:spacing w:after="45"/>
        <w:rPr>
          <w:rFonts w:ascii="Garamond" w:eastAsia="Garamond" w:hAnsi="Garamond" w:cs="Garamond"/>
          <w:sz w:val="24"/>
        </w:rPr>
      </w:pPr>
    </w:p>
    <w:p w:rsidR="004838A3" w:rsidRDefault="004838A3">
      <w:pPr>
        <w:spacing w:after="45"/>
        <w:rPr>
          <w:rFonts w:ascii="Garamond" w:eastAsia="Garamond" w:hAnsi="Garamond" w:cs="Garamond"/>
          <w:sz w:val="24"/>
        </w:rPr>
      </w:pPr>
    </w:p>
    <w:p w:rsidR="004838A3" w:rsidRDefault="004838A3">
      <w:pPr>
        <w:spacing w:after="45"/>
        <w:rPr>
          <w:rFonts w:ascii="Garamond" w:eastAsia="Garamond" w:hAnsi="Garamond" w:cs="Garamond"/>
          <w:sz w:val="24"/>
        </w:rPr>
      </w:pPr>
    </w:p>
    <w:p w:rsidR="004838A3" w:rsidRDefault="004838A3">
      <w:pPr>
        <w:spacing w:after="45"/>
      </w:pPr>
    </w:p>
    <w:p w:rsidR="00A214D2" w:rsidRDefault="004838A3">
      <w:pPr>
        <w:spacing w:after="0"/>
      </w:pPr>
      <w:r>
        <w:rPr>
          <w:rFonts w:ascii="Garamond" w:eastAsia="Garamond" w:hAnsi="Garamond" w:cs="Garamond"/>
          <w:sz w:val="24"/>
        </w:rPr>
        <w:t xml:space="preserve"> </w:t>
      </w:r>
      <w:r>
        <w:rPr>
          <w:rFonts w:ascii="Garamond" w:eastAsia="Garamond" w:hAnsi="Garamond" w:cs="Garamond"/>
          <w:sz w:val="24"/>
        </w:rPr>
        <w:tab/>
        <w:t xml:space="preserve"> </w:t>
      </w:r>
    </w:p>
    <w:tbl>
      <w:tblPr>
        <w:tblStyle w:val="TableGrid"/>
        <w:tblW w:w="9830" w:type="dxa"/>
        <w:tblInd w:w="5" w:type="dxa"/>
        <w:tblCellMar>
          <w:top w:w="57" w:type="dxa"/>
          <w:left w:w="110" w:type="dxa"/>
          <w:right w:w="96" w:type="dxa"/>
        </w:tblCellMar>
        <w:tblLook w:val="04A0" w:firstRow="1" w:lastRow="0" w:firstColumn="1" w:lastColumn="0" w:noHBand="0" w:noVBand="1"/>
      </w:tblPr>
      <w:tblGrid>
        <w:gridCol w:w="1985"/>
        <w:gridCol w:w="7845"/>
      </w:tblGrid>
      <w:tr w:rsidR="00A214D2">
        <w:trPr>
          <w:trHeight w:val="612"/>
        </w:trPr>
        <w:tc>
          <w:tcPr>
            <w:tcW w:w="1985" w:type="dxa"/>
            <w:tcBorders>
              <w:top w:val="single" w:sz="4" w:space="0" w:color="000000"/>
              <w:left w:val="single" w:sz="4" w:space="0" w:color="000000"/>
              <w:bottom w:val="single" w:sz="4" w:space="0" w:color="000000"/>
              <w:right w:val="single" w:sz="4" w:space="0" w:color="000000"/>
            </w:tcBorders>
          </w:tcPr>
          <w:p w:rsidR="00A214D2" w:rsidRDefault="004838A3">
            <w:pPr>
              <w:spacing w:after="6"/>
            </w:pPr>
            <w:r>
              <w:rPr>
                <w:rFonts w:ascii="Garamond" w:eastAsia="Garamond" w:hAnsi="Garamond" w:cs="Garamond"/>
                <w:b/>
                <w:sz w:val="24"/>
              </w:rPr>
              <w:lastRenderedPageBreak/>
              <w:t xml:space="preserve">Titel 1 </w:t>
            </w:r>
          </w:p>
          <w:p w:rsidR="00A214D2" w:rsidRDefault="004838A3">
            <w:r>
              <w:rPr>
                <w:rFonts w:ascii="Garamond" w:eastAsia="Garamond" w:hAnsi="Garamond" w:cs="Garamond"/>
                <w:b/>
                <w:sz w:val="24"/>
              </w:rPr>
              <w:t xml:space="preserve"> </w:t>
            </w:r>
          </w:p>
        </w:tc>
        <w:tc>
          <w:tcPr>
            <w:tcW w:w="7845"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 xml:space="preserve">Den retfærdige stat </w:t>
            </w:r>
          </w:p>
        </w:tc>
      </w:tr>
      <w:tr w:rsidR="00A214D2">
        <w:trPr>
          <w:trHeight w:val="4119"/>
        </w:trPr>
        <w:tc>
          <w:tcPr>
            <w:tcW w:w="1985"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b/>
                <w:sz w:val="24"/>
              </w:rPr>
              <w:t xml:space="preserve">Indhold </w:t>
            </w:r>
          </w:p>
        </w:tc>
        <w:tc>
          <w:tcPr>
            <w:tcW w:w="7845" w:type="dxa"/>
            <w:tcBorders>
              <w:top w:val="single" w:sz="4" w:space="0" w:color="000000"/>
              <w:left w:val="single" w:sz="4" w:space="0" w:color="000000"/>
              <w:bottom w:val="single" w:sz="4" w:space="0" w:color="000000"/>
              <w:right w:val="single" w:sz="4" w:space="0" w:color="000000"/>
            </w:tcBorders>
          </w:tcPr>
          <w:p w:rsidR="00A214D2" w:rsidRDefault="004838A3">
            <w:pPr>
              <w:spacing w:after="6"/>
            </w:pPr>
            <w:r>
              <w:rPr>
                <w:rFonts w:ascii="Garamond" w:eastAsia="Garamond" w:hAnsi="Garamond" w:cs="Garamond"/>
                <w:sz w:val="24"/>
              </w:rPr>
              <w:t xml:space="preserve">Kernestof: </w:t>
            </w:r>
          </w:p>
          <w:p w:rsidR="00A214D2" w:rsidRDefault="004838A3">
            <w:r>
              <w:rPr>
                <w:rFonts w:ascii="Garamond" w:eastAsia="Garamond" w:hAnsi="Garamond" w:cs="Garamond"/>
                <w:sz w:val="24"/>
              </w:rPr>
              <w:t xml:space="preserve">Platon: Staten, Museum </w:t>
            </w:r>
            <w:proofErr w:type="spellStart"/>
            <w:r>
              <w:rPr>
                <w:rFonts w:ascii="Garamond" w:eastAsia="Garamond" w:hAnsi="Garamond" w:cs="Garamond"/>
                <w:sz w:val="24"/>
              </w:rPr>
              <w:t>Tusculanums</w:t>
            </w:r>
            <w:proofErr w:type="spellEnd"/>
            <w:r>
              <w:rPr>
                <w:rFonts w:ascii="Garamond" w:eastAsia="Garamond" w:hAnsi="Garamond" w:cs="Garamond"/>
                <w:sz w:val="24"/>
              </w:rPr>
              <w:t xml:space="preserve"> Forlag, 1996, s. 279-286  </w:t>
            </w:r>
          </w:p>
          <w:p w:rsidR="00A214D2" w:rsidRDefault="004838A3">
            <w:r>
              <w:rPr>
                <w:rFonts w:ascii="Garamond" w:eastAsia="Garamond" w:hAnsi="Garamond" w:cs="Garamond"/>
                <w:sz w:val="24"/>
              </w:rPr>
              <w:t xml:space="preserve">Hobbes: </w:t>
            </w:r>
            <w:proofErr w:type="spellStart"/>
            <w:r>
              <w:rPr>
                <w:rFonts w:ascii="Garamond" w:eastAsia="Garamond" w:hAnsi="Garamond" w:cs="Garamond"/>
                <w:sz w:val="24"/>
              </w:rPr>
              <w:t>Leviathan</w:t>
            </w:r>
            <w:proofErr w:type="spellEnd"/>
            <w:r>
              <w:rPr>
                <w:rFonts w:ascii="Garamond" w:eastAsia="Garamond" w:hAnsi="Garamond" w:cs="Garamond"/>
                <w:sz w:val="24"/>
              </w:rPr>
              <w:t xml:space="preserve">, fra Bent Rensch: Ret og magt, Systime, 1993 </w:t>
            </w:r>
          </w:p>
          <w:p w:rsidR="00A214D2" w:rsidRDefault="004838A3">
            <w:pPr>
              <w:spacing w:line="239" w:lineRule="auto"/>
            </w:pPr>
            <w:r>
              <w:rPr>
                <w:rFonts w:ascii="Garamond" w:eastAsia="Garamond" w:hAnsi="Garamond" w:cs="Garamond"/>
                <w:sz w:val="24"/>
              </w:rPr>
              <w:t xml:space="preserve">Kant. ”Hvad er oplysning?”, fra Thomas Bredsdorff: ”Oplysningen”, Gyldendal, 2004, s.77-81.  </w:t>
            </w:r>
          </w:p>
          <w:p w:rsidR="00A214D2" w:rsidRDefault="004838A3">
            <w:pPr>
              <w:spacing w:line="239" w:lineRule="auto"/>
              <w:jc w:val="both"/>
            </w:pPr>
            <w:r>
              <w:rPr>
                <w:rFonts w:ascii="Garamond" w:eastAsia="Garamond" w:hAnsi="Garamond" w:cs="Garamond"/>
                <w:sz w:val="24"/>
              </w:rPr>
              <w:t xml:space="preserve">Locke: ”To afhandlinger om regering”, fra Bent Rensch: ”Ret og magt”, Systime, 1993. </w:t>
            </w:r>
          </w:p>
          <w:p w:rsidR="00A214D2" w:rsidRDefault="004838A3">
            <w:r>
              <w:rPr>
                <w:rFonts w:ascii="Garamond" w:eastAsia="Garamond" w:hAnsi="Garamond" w:cs="Garamond"/>
                <w:sz w:val="24"/>
              </w:rPr>
              <w:t xml:space="preserve"> </w:t>
            </w:r>
          </w:p>
          <w:p w:rsidR="00A214D2" w:rsidRDefault="004838A3">
            <w:r>
              <w:rPr>
                <w:rFonts w:ascii="Garamond" w:eastAsia="Garamond" w:hAnsi="Garamond" w:cs="Garamond"/>
                <w:sz w:val="24"/>
              </w:rPr>
              <w:t xml:space="preserve">Supplerende stof:  </w:t>
            </w:r>
          </w:p>
          <w:p w:rsidR="00A214D2" w:rsidRDefault="004838A3">
            <w:r>
              <w:rPr>
                <w:rFonts w:ascii="Garamond" w:eastAsia="Garamond" w:hAnsi="Garamond" w:cs="Garamond"/>
                <w:sz w:val="24"/>
              </w:rPr>
              <w:t xml:space="preserve">Hans Fink m.fl.: “Menneske Samfund Natur”, Gyldendal, s. 146-156, 167-181 </w:t>
            </w:r>
          </w:p>
          <w:p w:rsidR="00A214D2" w:rsidRDefault="004838A3">
            <w:r>
              <w:rPr>
                <w:rFonts w:ascii="Garamond" w:eastAsia="Garamond" w:hAnsi="Garamond" w:cs="Garamond"/>
                <w:sz w:val="24"/>
              </w:rPr>
              <w:t xml:space="preserve">Thomas Bredsdorff: ”Oplysningen”, Gyldendal, 2004, s.7-9 </w:t>
            </w:r>
          </w:p>
          <w:p w:rsidR="00A214D2" w:rsidRDefault="004838A3">
            <w:r>
              <w:rPr>
                <w:rFonts w:ascii="Garamond" w:eastAsia="Garamond" w:hAnsi="Garamond" w:cs="Garamond"/>
                <w:sz w:val="24"/>
              </w:rPr>
              <w:t xml:space="preserve">Den franske erklæring om menneskerettigheder, 1789 </w:t>
            </w:r>
          </w:p>
          <w:p w:rsidR="00A214D2" w:rsidRDefault="004838A3">
            <w:pPr>
              <w:spacing w:after="3" w:line="237" w:lineRule="auto"/>
            </w:pPr>
            <w:r>
              <w:rPr>
                <w:rFonts w:ascii="Garamond" w:eastAsia="Garamond" w:hAnsi="Garamond" w:cs="Garamond"/>
                <w:sz w:val="24"/>
              </w:rPr>
              <w:t xml:space="preserve">Bent Rensch: Ret og magt, Systime, 1993: Korte indledninger til Hobbes- og Locke-tekster </w:t>
            </w:r>
          </w:p>
          <w:p w:rsidR="00A214D2" w:rsidRDefault="004838A3">
            <w:r>
              <w:rPr>
                <w:rFonts w:ascii="Garamond" w:eastAsia="Garamond" w:hAnsi="Garamond" w:cs="Garamond"/>
                <w:sz w:val="24"/>
              </w:rPr>
              <w:t xml:space="preserve"> </w:t>
            </w:r>
          </w:p>
        </w:tc>
      </w:tr>
      <w:tr w:rsidR="00A214D2">
        <w:trPr>
          <w:trHeight w:val="610"/>
        </w:trPr>
        <w:tc>
          <w:tcPr>
            <w:tcW w:w="1985" w:type="dxa"/>
            <w:tcBorders>
              <w:top w:val="single" w:sz="4" w:space="0" w:color="000000"/>
              <w:left w:val="single" w:sz="4" w:space="0" w:color="000000"/>
              <w:bottom w:val="single" w:sz="4" w:space="0" w:color="000000"/>
              <w:right w:val="single" w:sz="4" w:space="0" w:color="000000"/>
            </w:tcBorders>
          </w:tcPr>
          <w:p w:rsidR="00A214D2" w:rsidRDefault="004838A3">
            <w:pPr>
              <w:spacing w:after="6"/>
            </w:pPr>
            <w:r>
              <w:rPr>
                <w:rFonts w:ascii="Garamond" w:eastAsia="Garamond" w:hAnsi="Garamond" w:cs="Garamond"/>
                <w:b/>
                <w:sz w:val="24"/>
              </w:rPr>
              <w:t xml:space="preserve">Omfang </w:t>
            </w:r>
          </w:p>
          <w:p w:rsidR="00A214D2" w:rsidRDefault="004838A3">
            <w:r>
              <w:rPr>
                <w:rFonts w:ascii="Garamond" w:eastAsia="Garamond" w:hAnsi="Garamond" w:cs="Garamond"/>
                <w:b/>
                <w:sz w:val="24"/>
              </w:rPr>
              <w:t xml:space="preserve"> </w:t>
            </w:r>
          </w:p>
        </w:tc>
        <w:tc>
          <w:tcPr>
            <w:tcW w:w="7845"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 xml:space="preserve">Anvendt uddannelsestid: 24 timer </w:t>
            </w:r>
          </w:p>
        </w:tc>
      </w:tr>
      <w:tr w:rsidR="00A214D2">
        <w:trPr>
          <w:trHeight w:val="5648"/>
        </w:trPr>
        <w:tc>
          <w:tcPr>
            <w:tcW w:w="1985"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b/>
                <w:sz w:val="24"/>
              </w:rPr>
              <w:t xml:space="preserve">Særlige fokuspunkter </w:t>
            </w:r>
          </w:p>
        </w:tc>
        <w:tc>
          <w:tcPr>
            <w:tcW w:w="7845" w:type="dxa"/>
            <w:tcBorders>
              <w:top w:val="single" w:sz="4" w:space="0" w:color="000000"/>
              <w:left w:val="single" w:sz="4" w:space="0" w:color="000000"/>
              <w:bottom w:val="single" w:sz="4" w:space="0" w:color="000000"/>
              <w:right w:val="single" w:sz="4" w:space="0" w:color="000000"/>
            </w:tcBorders>
          </w:tcPr>
          <w:p w:rsidR="00A214D2" w:rsidRDefault="004838A3">
            <w:pPr>
              <w:spacing w:after="68"/>
            </w:pPr>
            <w:r>
              <w:rPr>
                <w:rFonts w:ascii="Garamond" w:eastAsia="Garamond" w:hAnsi="Garamond" w:cs="Garamond"/>
                <w:sz w:val="24"/>
              </w:rPr>
              <w:t xml:space="preserve">Faglige mål fra læreplanen: </w:t>
            </w:r>
          </w:p>
          <w:p w:rsidR="00A214D2" w:rsidRDefault="004838A3">
            <w:pPr>
              <w:numPr>
                <w:ilvl w:val="0"/>
                <w:numId w:val="1"/>
              </w:numPr>
              <w:spacing w:after="20"/>
              <w:ind w:hanging="361"/>
            </w:pPr>
            <w:r>
              <w:rPr>
                <w:rFonts w:ascii="Garamond" w:eastAsia="Garamond" w:hAnsi="Garamond" w:cs="Garamond"/>
                <w:sz w:val="24"/>
              </w:rPr>
              <w:t xml:space="preserve">genkende og redegøre for filosofiske problemstillinger </w:t>
            </w:r>
          </w:p>
          <w:p w:rsidR="00A214D2" w:rsidRDefault="004838A3">
            <w:pPr>
              <w:numPr>
                <w:ilvl w:val="0"/>
                <w:numId w:val="1"/>
              </w:numPr>
              <w:spacing w:after="94" w:line="238" w:lineRule="auto"/>
              <w:ind w:hanging="361"/>
            </w:pPr>
            <w:r>
              <w:rPr>
                <w:rFonts w:ascii="Garamond" w:eastAsia="Garamond" w:hAnsi="Garamond" w:cs="Garamond"/>
                <w:sz w:val="24"/>
              </w:rPr>
              <w:t xml:space="preserve">demonstrere viden om filosofiske problemstillinger og teorier vedrørende fundamentale opfattelser af menneske og samfund inden for praktisk filosofi </w:t>
            </w:r>
          </w:p>
          <w:p w:rsidR="00A214D2" w:rsidRDefault="004838A3">
            <w:pPr>
              <w:numPr>
                <w:ilvl w:val="0"/>
                <w:numId w:val="1"/>
              </w:numPr>
              <w:spacing w:line="239" w:lineRule="auto"/>
              <w:ind w:hanging="361"/>
            </w:pPr>
            <w:r>
              <w:rPr>
                <w:rFonts w:ascii="Garamond" w:eastAsia="Garamond" w:hAnsi="Garamond" w:cs="Garamond"/>
                <w:sz w:val="24"/>
              </w:rPr>
              <w:t xml:space="preserve">demonstrere et elementært kendskab til filosofiske problemers, begrebers og teoriers idéhistoriske og systematiske sammenhæng og udvikling </w:t>
            </w:r>
          </w:p>
          <w:p w:rsidR="00A214D2" w:rsidRDefault="004838A3">
            <w:r>
              <w:rPr>
                <w:rFonts w:ascii="Garamond" w:eastAsia="Garamond" w:hAnsi="Garamond" w:cs="Garamond"/>
                <w:sz w:val="24"/>
              </w:rPr>
              <w:t xml:space="preserve"> </w:t>
            </w:r>
          </w:p>
          <w:p w:rsidR="00A214D2" w:rsidRDefault="004838A3">
            <w:pPr>
              <w:spacing w:after="68"/>
            </w:pPr>
            <w:r>
              <w:rPr>
                <w:rFonts w:ascii="Garamond" w:eastAsia="Garamond" w:hAnsi="Garamond" w:cs="Garamond"/>
                <w:sz w:val="24"/>
              </w:rPr>
              <w:t xml:space="preserve">Fokuspunkter: </w:t>
            </w:r>
          </w:p>
          <w:p w:rsidR="00A214D2" w:rsidRDefault="004838A3">
            <w:pPr>
              <w:numPr>
                <w:ilvl w:val="0"/>
                <w:numId w:val="1"/>
              </w:numPr>
              <w:spacing w:after="92"/>
              <w:ind w:hanging="361"/>
            </w:pPr>
            <w:r>
              <w:rPr>
                <w:rFonts w:ascii="Garamond" w:eastAsia="Garamond" w:hAnsi="Garamond" w:cs="Garamond"/>
                <w:sz w:val="24"/>
              </w:rPr>
              <w:t xml:space="preserve">Vedrører fundamentale opfattelser af samfundet, politisk filosofi og rettigheder.  </w:t>
            </w:r>
          </w:p>
          <w:p w:rsidR="00A214D2" w:rsidRDefault="004838A3">
            <w:pPr>
              <w:numPr>
                <w:ilvl w:val="0"/>
                <w:numId w:val="1"/>
              </w:numPr>
              <w:spacing w:after="95" w:line="237" w:lineRule="auto"/>
              <w:ind w:hanging="361"/>
            </w:pPr>
            <w:r>
              <w:rPr>
                <w:rFonts w:ascii="Garamond" w:eastAsia="Garamond" w:hAnsi="Garamond" w:cs="Garamond"/>
                <w:b/>
                <w:sz w:val="24"/>
              </w:rPr>
              <w:t xml:space="preserve">Emnet ”den retfærdige stat” behandles ud fra en idéhistorisk vinkel i perioden fra den græske bystat og frem til oplysningstiden.  </w:t>
            </w:r>
          </w:p>
          <w:p w:rsidR="00A214D2" w:rsidRDefault="004838A3">
            <w:pPr>
              <w:numPr>
                <w:ilvl w:val="0"/>
                <w:numId w:val="1"/>
              </w:numPr>
              <w:spacing w:line="239" w:lineRule="auto"/>
              <w:ind w:hanging="361"/>
            </w:pPr>
            <w:r>
              <w:rPr>
                <w:rFonts w:ascii="Garamond" w:eastAsia="Garamond" w:hAnsi="Garamond" w:cs="Garamond"/>
                <w:b/>
                <w:sz w:val="24"/>
              </w:rPr>
              <w:t xml:space="preserve">Oplysningstænkningen behandles også systematisk og relateres til nutidige problematikker omkring menneskerettigheder. </w:t>
            </w:r>
          </w:p>
          <w:p w:rsidR="00A214D2" w:rsidRDefault="004838A3">
            <w:r>
              <w:rPr>
                <w:rFonts w:ascii="Garamond" w:eastAsia="Garamond" w:hAnsi="Garamond" w:cs="Garamond"/>
                <w:sz w:val="24"/>
              </w:rPr>
              <w:t xml:space="preserve"> </w:t>
            </w:r>
          </w:p>
          <w:p w:rsidR="00A214D2" w:rsidRDefault="004838A3">
            <w:r>
              <w:rPr>
                <w:rFonts w:ascii="Garamond" w:eastAsia="Garamond" w:hAnsi="Garamond" w:cs="Garamond"/>
                <w:sz w:val="24"/>
              </w:rPr>
              <w:t xml:space="preserve">Opgavetyper og evaluering: </w:t>
            </w:r>
          </w:p>
          <w:p w:rsidR="00A214D2" w:rsidRDefault="004838A3">
            <w:pPr>
              <w:spacing w:after="31" w:line="239" w:lineRule="auto"/>
            </w:pPr>
            <w:r>
              <w:rPr>
                <w:rFonts w:ascii="Garamond" w:eastAsia="Garamond" w:hAnsi="Garamond" w:cs="Garamond"/>
                <w:sz w:val="24"/>
              </w:rPr>
              <w:t xml:space="preserve">Evaluering i form af kommentarer og vejledning til udarbejdelse af tidslinje, besvarelse af arbejdsspørgsmål til teksterne samt skriftlig opgave. </w:t>
            </w:r>
          </w:p>
          <w:p w:rsidR="00A214D2" w:rsidRDefault="004838A3">
            <w:r>
              <w:rPr>
                <w:rFonts w:ascii="Garamond" w:eastAsia="Garamond" w:hAnsi="Garamond" w:cs="Garamond"/>
                <w:sz w:val="24"/>
              </w:rPr>
              <w:t xml:space="preserve"> </w:t>
            </w:r>
          </w:p>
        </w:tc>
      </w:tr>
    </w:tbl>
    <w:p w:rsidR="00A214D2" w:rsidRDefault="004838A3">
      <w:pPr>
        <w:spacing w:after="6"/>
      </w:pPr>
      <w:r>
        <w:rPr>
          <w:rFonts w:ascii="Garamond" w:eastAsia="Garamond" w:hAnsi="Garamond" w:cs="Garamond"/>
          <w:sz w:val="24"/>
        </w:rPr>
        <w:t xml:space="preserve"> </w:t>
      </w:r>
    </w:p>
    <w:p w:rsidR="00A214D2" w:rsidRDefault="004838A3">
      <w:pPr>
        <w:spacing w:after="11"/>
      </w:pPr>
      <w:r>
        <w:rPr>
          <w:rFonts w:ascii="Garamond" w:eastAsia="Garamond" w:hAnsi="Garamond" w:cs="Garamond"/>
          <w:sz w:val="24"/>
        </w:rPr>
        <w:t xml:space="preserve"> </w:t>
      </w:r>
    </w:p>
    <w:p w:rsidR="00A214D2" w:rsidRDefault="004838A3">
      <w:pPr>
        <w:spacing w:after="0"/>
        <w:jc w:val="both"/>
      </w:pPr>
      <w:r>
        <w:rPr>
          <w:rFonts w:ascii="Garamond" w:eastAsia="Garamond" w:hAnsi="Garamond" w:cs="Garamond"/>
          <w:sz w:val="24"/>
        </w:rPr>
        <w:t xml:space="preserve"> </w:t>
      </w:r>
      <w:r>
        <w:rPr>
          <w:rFonts w:ascii="Garamond" w:eastAsia="Garamond" w:hAnsi="Garamond" w:cs="Garamond"/>
          <w:sz w:val="24"/>
        </w:rPr>
        <w:tab/>
        <w:t xml:space="preserve"> </w:t>
      </w:r>
    </w:p>
    <w:p w:rsidR="00A214D2" w:rsidRDefault="004838A3">
      <w:pPr>
        <w:spacing w:after="0"/>
      </w:pPr>
      <w:r>
        <w:rPr>
          <w:rFonts w:ascii="Garamond" w:eastAsia="Garamond" w:hAnsi="Garamond" w:cs="Garamond"/>
          <w:sz w:val="24"/>
        </w:rPr>
        <w:lastRenderedPageBreak/>
        <w:t xml:space="preserve"> </w:t>
      </w:r>
    </w:p>
    <w:tbl>
      <w:tblPr>
        <w:tblStyle w:val="TableGrid"/>
        <w:tblW w:w="9631" w:type="dxa"/>
        <w:tblInd w:w="5" w:type="dxa"/>
        <w:tblCellMar>
          <w:top w:w="54" w:type="dxa"/>
          <w:left w:w="110" w:type="dxa"/>
          <w:right w:w="115" w:type="dxa"/>
        </w:tblCellMar>
        <w:tblLook w:val="04A0" w:firstRow="1" w:lastRow="0" w:firstColumn="1" w:lastColumn="0" w:noHBand="0" w:noVBand="1"/>
      </w:tblPr>
      <w:tblGrid>
        <w:gridCol w:w="1959"/>
        <w:gridCol w:w="7672"/>
      </w:tblGrid>
      <w:tr w:rsidR="00A214D2">
        <w:trPr>
          <w:trHeight w:val="612"/>
        </w:trPr>
        <w:tc>
          <w:tcPr>
            <w:tcW w:w="1959" w:type="dxa"/>
            <w:tcBorders>
              <w:top w:val="single" w:sz="4" w:space="0" w:color="000000"/>
              <w:left w:val="single" w:sz="4" w:space="0" w:color="000000"/>
              <w:bottom w:val="single" w:sz="4" w:space="0" w:color="000000"/>
              <w:right w:val="single" w:sz="4" w:space="0" w:color="000000"/>
            </w:tcBorders>
          </w:tcPr>
          <w:p w:rsidR="00A214D2" w:rsidRDefault="004838A3">
            <w:pPr>
              <w:spacing w:after="6"/>
            </w:pPr>
            <w:r>
              <w:rPr>
                <w:rFonts w:ascii="Garamond" w:eastAsia="Garamond" w:hAnsi="Garamond" w:cs="Garamond"/>
                <w:b/>
                <w:sz w:val="24"/>
              </w:rPr>
              <w:t xml:space="preserve">Titel 2 </w:t>
            </w:r>
          </w:p>
          <w:p w:rsidR="00A214D2" w:rsidRDefault="004838A3">
            <w:r>
              <w:rPr>
                <w:rFonts w:ascii="Garamond" w:eastAsia="Garamond" w:hAnsi="Garamond" w:cs="Garamond"/>
                <w:b/>
                <w:sz w:val="24"/>
              </w:rPr>
              <w:t xml:space="preserve"> </w:t>
            </w:r>
          </w:p>
        </w:tc>
        <w:tc>
          <w:tcPr>
            <w:tcW w:w="7672"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 xml:space="preserve">Det etik rigtige </w:t>
            </w:r>
          </w:p>
        </w:tc>
      </w:tr>
      <w:tr w:rsidR="00A214D2">
        <w:trPr>
          <w:trHeight w:val="5170"/>
        </w:trPr>
        <w:tc>
          <w:tcPr>
            <w:tcW w:w="1959"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b/>
                <w:sz w:val="24"/>
              </w:rPr>
              <w:t xml:space="preserve">Indhold </w:t>
            </w:r>
          </w:p>
        </w:tc>
        <w:tc>
          <w:tcPr>
            <w:tcW w:w="7672"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 xml:space="preserve">Kernestof: </w:t>
            </w:r>
          </w:p>
          <w:p w:rsidR="00A214D2" w:rsidRDefault="004838A3">
            <w:r>
              <w:rPr>
                <w:rFonts w:ascii="Garamond" w:eastAsia="Garamond" w:hAnsi="Garamond" w:cs="Garamond"/>
                <w:sz w:val="24"/>
              </w:rPr>
              <w:t xml:space="preserve">Bentham: “En indføring i principperne for moral og lovgivning” fra: Bjarne </w:t>
            </w:r>
          </w:p>
          <w:p w:rsidR="00A214D2" w:rsidRDefault="004838A3">
            <w:r>
              <w:rPr>
                <w:rFonts w:ascii="Garamond" w:eastAsia="Garamond" w:hAnsi="Garamond" w:cs="Garamond"/>
                <w:sz w:val="24"/>
              </w:rPr>
              <w:t xml:space="preserve">Troelsen (red): “Moralen og dens begrundelse”, Systime, 1995 </w:t>
            </w:r>
          </w:p>
          <w:p w:rsidR="00A214D2" w:rsidRDefault="004838A3">
            <w:r>
              <w:rPr>
                <w:rFonts w:ascii="Garamond" w:eastAsia="Garamond" w:hAnsi="Garamond" w:cs="Garamond"/>
                <w:sz w:val="24"/>
              </w:rPr>
              <w:t xml:space="preserve">Kant: “Grundlæggelse af moralens metafysik” fra: Bjarne Troelsen (red): </w:t>
            </w:r>
          </w:p>
          <w:p w:rsidR="00A214D2" w:rsidRDefault="004838A3">
            <w:r>
              <w:rPr>
                <w:rFonts w:ascii="Garamond" w:eastAsia="Garamond" w:hAnsi="Garamond" w:cs="Garamond"/>
                <w:sz w:val="24"/>
              </w:rPr>
              <w:t xml:space="preserve">“Moralen og dens begrundelse”, Systime, 1995 </w:t>
            </w:r>
          </w:p>
          <w:p w:rsidR="00A214D2" w:rsidRDefault="004838A3">
            <w:pPr>
              <w:spacing w:line="239" w:lineRule="auto"/>
            </w:pPr>
            <w:r>
              <w:rPr>
                <w:rFonts w:ascii="Garamond" w:eastAsia="Garamond" w:hAnsi="Garamond" w:cs="Garamond"/>
                <w:sz w:val="24"/>
              </w:rPr>
              <w:t>Singer: Praktisk etik, fra Bent Rensch: Moralfilosofi - Bidrag til den moralfilosofiske diskussion i det 20. århundrede</w:t>
            </w:r>
            <w:r>
              <w:rPr>
                <w:rFonts w:ascii="Garamond" w:eastAsia="Garamond" w:hAnsi="Garamond" w:cs="Garamond"/>
                <w:i/>
                <w:sz w:val="24"/>
              </w:rPr>
              <w:t>,</w:t>
            </w:r>
            <w:r>
              <w:rPr>
                <w:rFonts w:ascii="Garamond" w:eastAsia="Garamond" w:hAnsi="Garamond" w:cs="Garamond"/>
                <w:sz w:val="24"/>
              </w:rPr>
              <w:t xml:space="preserve"> Systime, 2000 </w:t>
            </w:r>
          </w:p>
          <w:p w:rsidR="00A214D2" w:rsidRDefault="004838A3">
            <w:r>
              <w:rPr>
                <w:rFonts w:ascii="Garamond" w:eastAsia="Garamond" w:hAnsi="Garamond" w:cs="Garamond"/>
                <w:sz w:val="24"/>
              </w:rPr>
              <w:t xml:space="preserve"> </w:t>
            </w:r>
          </w:p>
          <w:p w:rsidR="00A214D2" w:rsidRDefault="004838A3">
            <w:r>
              <w:rPr>
                <w:rFonts w:ascii="Garamond" w:eastAsia="Garamond" w:hAnsi="Garamond" w:cs="Garamond"/>
                <w:sz w:val="24"/>
              </w:rPr>
              <w:t xml:space="preserve">Supplerende stof: </w:t>
            </w:r>
          </w:p>
          <w:p w:rsidR="00A214D2" w:rsidRDefault="004838A3">
            <w:r>
              <w:rPr>
                <w:rFonts w:ascii="Garamond" w:eastAsia="Garamond" w:hAnsi="Garamond" w:cs="Garamond"/>
                <w:sz w:val="24"/>
              </w:rPr>
              <w:t xml:space="preserve">Jørgen Husted og Poul Lübcke: Politikens Filosofi Håndbog, Politikens Forlag, </w:t>
            </w:r>
          </w:p>
          <w:p w:rsidR="00A214D2" w:rsidRDefault="004838A3">
            <w:r>
              <w:rPr>
                <w:rFonts w:ascii="Garamond" w:eastAsia="Garamond" w:hAnsi="Garamond" w:cs="Garamond"/>
                <w:sz w:val="24"/>
              </w:rPr>
              <w:t xml:space="preserve">2001, s.198-202 (”Det etisk rigtige” – introduktion til etikken) </w:t>
            </w:r>
          </w:p>
          <w:p w:rsidR="00A214D2" w:rsidRDefault="004838A3">
            <w:pPr>
              <w:spacing w:line="239" w:lineRule="auto"/>
            </w:pPr>
            <w:r>
              <w:rPr>
                <w:rFonts w:ascii="Garamond" w:eastAsia="Garamond" w:hAnsi="Garamond" w:cs="Garamond"/>
                <w:sz w:val="24"/>
              </w:rPr>
              <w:t>Hans Fink m.fl.: “Menneske Samfund Natur”, Gyldendal</w:t>
            </w:r>
            <w:proofErr w:type="gramStart"/>
            <w:r>
              <w:rPr>
                <w:rFonts w:ascii="Garamond" w:eastAsia="Garamond" w:hAnsi="Garamond" w:cs="Garamond"/>
                <w:sz w:val="24"/>
              </w:rPr>
              <w:t>, ,</w:t>
            </w:r>
            <w:proofErr w:type="gramEnd"/>
            <w:r>
              <w:rPr>
                <w:rFonts w:ascii="Garamond" w:eastAsia="Garamond" w:hAnsi="Garamond" w:cs="Garamond"/>
                <w:sz w:val="24"/>
              </w:rPr>
              <w:t xml:space="preserve"> s.182-195 (Kant &amp; Bentham) </w:t>
            </w:r>
          </w:p>
          <w:p w:rsidR="00A214D2" w:rsidRDefault="004838A3">
            <w:pPr>
              <w:spacing w:line="239" w:lineRule="auto"/>
            </w:pPr>
            <w:r>
              <w:rPr>
                <w:rFonts w:ascii="Garamond" w:eastAsia="Garamond" w:hAnsi="Garamond" w:cs="Garamond"/>
                <w:sz w:val="24"/>
              </w:rPr>
              <w:t xml:space="preserve">Bjarne Troelsen (red): “Moralen og dens begrundelse”, Systime, 1995: korte indledninger til de læste filosoffer </w:t>
            </w:r>
          </w:p>
          <w:p w:rsidR="00A214D2" w:rsidRDefault="004838A3">
            <w:pPr>
              <w:spacing w:line="239" w:lineRule="auto"/>
            </w:pPr>
            <w:r>
              <w:rPr>
                <w:rFonts w:ascii="Garamond" w:eastAsia="Garamond" w:hAnsi="Garamond" w:cs="Garamond"/>
                <w:sz w:val="24"/>
              </w:rPr>
              <w:t>Bent Rensch: Moralfilosofi - Bidrag til den moralfilosofiske diskussion i det 20. århundrede</w:t>
            </w:r>
            <w:r>
              <w:rPr>
                <w:rFonts w:ascii="Garamond" w:eastAsia="Garamond" w:hAnsi="Garamond" w:cs="Garamond"/>
                <w:i/>
                <w:sz w:val="24"/>
              </w:rPr>
              <w:t>,</w:t>
            </w:r>
            <w:r>
              <w:rPr>
                <w:rFonts w:ascii="Garamond" w:eastAsia="Garamond" w:hAnsi="Garamond" w:cs="Garamond"/>
                <w:sz w:val="24"/>
              </w:rPr>
              <w:t xml:space="preserve"> Systime, 2000: indledning til Singer-teksten </w:t>
            </w:r>
          </w:p>
          <w:p w:rsidR="00A214D2" w:rsidRDefault="004838A3">
            <w:pPr>
              <w:spacing w:after="11"/>
            </w:pPr>
            <w:r>
              <w:rPr>
                <w:rFonts w:ascii="Garamond" w:eastAsia="Garamond" w:hAnsi="Garamond" w:cs="Garamond"/>
                <w:b/>
                <w:sz w:val="24"/>
              </w:rPr>
              <w:t xml:space="preserve">Noter m. øvelser om argumentationsteori (udarbejdet på KVUC) </w:t>
            </w:r>
          </w:p>
          <w:p w:rsidR="00A214D2" w:rsidRDefault="004838A3">
            <w:r>
              <w:rPr>
                <w:rFonts w:ascii="Garamond" w:eastAsia="Garamond" w:hAnsi="Garamond" w:cs="Garamond"/>
                <w:sz w:val="24"/>
              </w:rPr>
              <w:t xml:space="preserve"> </w:t>
            </w:r>
          </w:p>
        </w:tc>
      </w:tr>
      <w:tr w:rsidR="00A214D2">
        <w:trPr>
          <w:trHeight w:val="610"/>
        </w:trPr>
        <w:tc>
          <w:tcPr>
            <w:tcW w:w="1959" w:type="dxa"/>
            <w:tcBorders>
              <w:top w:val="single" w:sz="4" w:space="0" w:color="000000"/>
              <w:left w:val="single" w:sz="4" w:space="0" w:color="000000"/>
              <w:bottom w:val="single" w:sz="4" w:space="0" w:color="000000"/>
              <w:right w:val="single" w:sz="4" w:space="0" w:color="000000"/>
            </w:tcBorders>
          </w:tcPr>
          <w:p w:rsidR="00A214D2" w:rsidRDefault="004838A3">
            <w:pPr>
              <w:spacing w:after="6"/>
            </w:pPr>
            <w:r>
              <w:rPr>
                <w:rFonts w:ascii="Garamond" w:eastAsia="Garamond" w:hAnsi="Garamond" w:cs="Garamond"/>
                <w:b/>
                <w:sz w:val="24"/>
              </w:rPr>
              <w:t xml:space="preserve">Omfang </w:t>
            </w:r>
          </w:p>
          <w:p w:rsidR="00A214D2" w:rsidRDefault="004838A3">
            <w:r>
              <w:rPr>
                <w:rFonts w:ascii="Garamond" w:eastAsia="Garamond" w:hAnsi="Garamond" w:cs="Garamond"/>
                <w:b/>
                <w:sz w:val="24"/>
              </w:rPr>
              <w:t xml:space="preserve"> </w:t>
            </w:r>
          </w:p>
        </w:tc>
        <w:tc>
          <w:tcPr>
            <w:tcW w:w="7672"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 xml:space="preserve">Anvendt uddannelsestid: 24 timer </w:t>
            </w:r>
          </w:p>
        </w:tc>
      </w:tr>
    </w:tbl>
    <w:p w:rsidR="00A214D2" w:rsidRDefault="00A214D2">
      <w:pPr>
        <w:spacing w:after="11"/>
      </w:pPr>
    </w:p>
    <w:p w:rsidR="00A214D2" w:rsidRDefault="004838A3">
      <w:pPr>
        <w:spacing w:after="0"/>
        <w:jc w:val="both"/>
        <w:rPr>
          <w:rFonts w:ascii="Garamond" w:eastAsia="Garamond" w:hAnsi="Garamond" w:cs="Garamond"/>
          <w:sz w:val="24"/>
        </w:rPr>
      </w:pPr>
      <w:r>
        <w:rPr>
          <w:rFonts w:ascii="Garamond" w:eastAsia="Garamond" w:hAnsi="Garamond" w:cs="Garamond"/>
          <w:sz w:val="24"/>
        </w:rPr>
        <w:t xml:space="preserve"> </w:t>
      </w:r>
      <w:r>
        <w:rPr>
          <w:rFonts w:ascii="Garamond" w:eastAsia="Garamond" w:hAnsi="Garamond" w:cs="Garamond"/>
          <w:sz w:val="24"/>
        </w:rPr>
        <w:tab/>
        <w:t xml:space="preserve"> </w:t>
      </w: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rPr>
          <w:rFonts w:ascii="Garamond" w:eastAsia="Garamond" w:hAnsi="Garamond" w:cs="Garamond"/>
          <w:sz w:val="24"/>
        </w:rPr>
      </w:pPr>
    </w:p>
    <w:p w:rsidR="004838A3" w:rsidRDefault="004838A3">
      <w:pPr>
        <w:spacing w:after="0"/>
        <w:jc w:val="both"/>
      </w:pPr>
    </w:p>
    <w:p w:rsidR="00A214D2" w:rsidRDefault="004838A3">
      <w:pPr>
        <w:spacing w:after="0"/>
        <w:jc w:val="both"/>
      </w:pPr>
      <w:r>
        <w:rPr>
          <w:rFonts w:ascii="Garamond" w:eastAsia="Garamond" w:hAnsi="Garamond" w:cs="Garamond"/>
          <w:sz w:val="24"/>
        </w:rPr>
        <w:t xml:space="preserve"> </w:t>
      </w:r>
    </w:p>
    <w:tbl>
      <w:tblPr>
        <w:tblStyle w:val="TableGrid"/>
        <w:tblW w:w="9631" w:type="dxa"/>
        <w:tblInd w:w="5" w:type="dxa"/>
        <w:tblCellMar>
          <w:top w:w="56" w:type="dxa"/>
          <w:left w:w="110" w:type="dxa"/>
          <w:right w:w="84" w:type="dxa"/>
        </w:tblCellMar>
        <w:tblLook w:val="04A0" w:firstRow="1" w:lastRow="0" w:firstColumn="1" w:lastColumn="0" w:noHBand="0" w:noVBand="1"/>
      </w:tblPr>
      <w:tblGrid>
        <w:gridCol w:w="1959"/>
        <w:gridCol w:w="7672"/>
      </w:tblGrid>
      <w:tr w:rsidR="00A214D2">
        <w:trPr>
          <w:trHeight w:val="612"/>
        </w:trPr>
        <w:tc>
          <w:tcPr>
            <w:tcW w:w="1959" w:type="dxa"/>
            <w:tcBorders>
              <w:top w:val="single" w:sz="4" w:space="0" w:color="000000"/>
              <w:left w:val="single" w:sz="4" w:space="0" w:color="000000"/>
              <w:bottom w:val="single" w:sz="4" w:space="0" w:color="000000"/>
              <w:right w:val="single" w:sz="4" w:space="0" w:color="000000"/>
            </w:tcBorders>
          </w:tcPr>
          <w:p w:rsidR="00A214D2" w:rsidRDefault="004838A3">
            <w:pPr>
              <w:spacing w:after="6"/>
            </w:pPr>
            <w:r>
              <w:rPr>
                <w:rFonts w:ascii="Garamond" w:eastAsia="Garamond" w:hAnsi="Garamond" w:cs="Garamond"/>
                <w:b/>
                <w:sz w:val="24"/>
              </w:rPr>
              <w:t xml:space="preserve">Titel 3 </w:t>
            </w:r>
          </w:p>
          <w:p w:rsidR="00A214D2" w:rsidRDefault="004838A3">
            <w:r>
              <w:rPr>
                <w:rFonts w:ascii="Garamond" w:eastAsia="Garamond" w:hAnsi="Garamond" w:cs="Garamond"/>
                <w:b/>
                <w:sz w:val="24"/>
              </w:rPr>
              <w:t xml:space="preserve"> </w:t>
            </w:r>
          </w:p>
        </w:tc>
        <w:tc>
          <w:tcPr>
            <w:tcW w:w="7672"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 xml:space="preserve">Videnskabsfilosofi </w:t>
            </w:r>
          </w:p>
        </w:tc>
      </w:tr>
      <w:tr w:rsidR="00A214D2">
        <w:trPr>
          <w:trHeight w:val="3158"/>
        </w:trPr>
        <w:tc>
          <w:tcPr>
            <w:tcW w:w="1959"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b/>
                <w:sz w:val="24"/>
              </w:rPr>
              <w:lastRenderedPageBreak/>
              <w:t xml:space="preserve">Indhold </w:t>
            </w:r>
          </w:p>
        </w:tc>
        <w:tc>
          <w:tcPr>
            <w:tcW w:w="7672"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Kernestof:</w:t>
            </w:r>
            <w:r>
              <w:rPr>
                <w:rFonts w:ascii="Garamond" w:eastAsia="Garamond" w:hAnsi="Garamond" w:cs="Garamond"/>
                <w:sz w:val="20"/>
              </w:rPr>
              <w:t xml:space="preserve"> </w:t>
            </w:r>
          </w:p>
          <w:p w:rsidR="00A214D2" w:rsidRDefault="004838A3">
            <w:proofErr w:type="spellStart"/>
            <w:r>
              <w:rPr>
                <w:rFonts w:ascii="Garamond" w:eastAsia="Garamond" w:hAnsi="Garamond" w:cs="Garamond"/>
                <w:sz w:val="24"/>
              </w:rPr>
              <w:t>Carnap</w:t>
            </w:r>
            <w:proofErr w:type="spellEnd"/>
            <w:r>
              <w:rPr>
                <w:rFonts w:ascii="Garamond" w:eastAsia="Garamond" w:hAnsi="Garamond" w:cs="Garamond"/>
                <w:sz w:val="24"/>
              </w:rPr>
              <w:t>: Filosofi og logisk syntaks,</w:t>
            </w:r>
            <w:r>
              <w:rPr>
                <w:rFonts w:ascii="Garamond" w:eastAsia="Garamond" w:hAnsi="Garamond" w:cs="Garamond"/>
                <w:sz w:val="20"/>
              </w:rPr>
              <w:t xml:space="preserve"> </w:t>
            </w:r>
            <w:r>
              <w:rPr>
                <w:rFonts w:ascii="Garamond" w:eastAsia="Garamond" w:hAnsi="Garamond" w:cs="Garamond"/>
                <w:sz w:val="24"/>
              </w:rPr>
              <w:t>Viden, videnskab, virkelighed, Gyldendal 1990, s. 20-31</w:t>
            </w:r>
            <w:r>
              <w:rPr>
                <w:rFonts w:ascii="Garamond" w:eastAsia="Garamond" w:hAnsi="Garamond" w:cs="Garamond"/>
                <w:sz w:val="20"/>
              </w:rPr>
              <w:t xml:space="preserve"> </w:t>
            </w:r>
          </w:p>
          <w:p w:rsidR="00A214D2" w:rsidRDefault="004838A3">
            <w:r>
              <w:rPr>
                <w:rFonts w:ascii="Garamond" w:eastAsia="Garamond" w:hAnsi="Garamond" w:cs="Garamond"/>
                <w:sz w:val="24"/>
              </w:rPr>
              <w:t>Popper: Gisninger og gendrivelser, Viden, videnskab, virkelighed, Gyldendal 1990, s. 37-41</w:t>
            </w:r>
            <w:r>
              <w:rPr>
                <w:rFonts w:ascii="Garamond" w:eastAsia="Garamond" w:hAnsi="Garamond" w:cs="Garamond"/>
                <w:sz w:val="20"/>
              </w:rPr>
              <w:t xml:space="preserve"> </w:t>
            </w:r>
          </w:p>
          <w:p w:rsidR="00A214D2" w:rsidRDefault="004838A3">
            <w:pPr>
              <w:spacing w:line="239" w:lineRule="auto"/>
              <w:jc w:val="both"/>
            </w:pPr>
            <w:r>
              <w:rPr>
                <w:rFonts w:ascii="Garamond" w:eastAsia="Garamond" w:hAnsi="Garamond" w:cs="Garamond"/>
                <w:sz w:val="24"/>
              </w:rPr>
              <w:t xml:space="preserve">Kuhn: Videnskabelige revolutioner, Filosofi og videnskab, Systime 2007, s. 3238 </w:t>
            </w:r>
          </w:p>
          <w:p w:rsidR="00A214D2" w:rsidRDefault="004838A3">
            <w:pPr>
              <w:spacing w:after="18"/>
            </w:pPr>
            <w:r>
              <w:rPr>
                <w:rFonts w:ascii="Garamond" w:eastAsia="Garamond" w:hAnsi="Garamond" w:cs="Garamond"/>
                <w:sz w:val="20"/>
              </w:rPr>
              <w:t xml:space="preserve"> </w:t>
            </w:r>
          </w:p>
          <w:p w:rsidR="00A214D2" w:rsidRDefault="004838A3">
            <w:r>
              <w:rPr>
                <w:rFonts w:ascii="Garamond" w:eastAsia="Garamond" w:hAnsi="Garamond" w:cs="Garamond"/>
                <w:sz w:val="24"/>
              </w:rPr>
              <w:t>Supplerende stof:</w:t>
            </w:r>
            <w:r>
              <w:rPr>
                <w:rFonts w:ascii="Garamond" w:eastAsia="Garamond" w:hAnsi="Garamond" w:cs="Garamond"/>
                <w:sz w:val="20"/>
              </w:rPr>
              <w:t xml:space="preserve"> </w:t>
            </w:r>
          </w:p>
          <w:p w:rsidR="00A214D2" w:rsidRDefault="004838A3">
            <w:pPr>
              <w:spacing w:line="237" w:lineRule="auto"/>
            </w:pPr>
            <w:r>
              <w:rPr>
                <w:rFonts w:ascii="Garamond" w:eastAsia="Garamond" w:hAnsi="Garamond" w:cs="Garamond"/>
                <w:sz w:val="24"/>
              </w:rPr>
              <w:t xml:space="preserve">Hans Fink m.fl.: Menneske Samfund Natur, Gyldendal, s. 342-346, 349-357 Horoskoper læses på horoskop.dk </w:t>
            </w:r>
          </w:p>
          <w:p w:rsidR="00A214D2" w:rsidRDefault="004838A3">
            <w:r>
              <w:rPr>
                <w:rFonts w:ascii="Garamond" w:eastAsia="Garamond" w:hAnsi="Garamond" w:cs="Garamond"/>
                <w:sz w:val="20"/>
              </w:rPr>
              <w:t xml:space="preserve"> </w:t>
            </w:r>
          </w:p>
        </w:tc>
      </w:tr>
      <w:tr w:rsidR="00A214D2">
        <w:trPr>
          <w:trHeight w:val="610"/>
        </w:trPr>
        <w:tc>
          <w:tcPr>
            <w:tcW w:w="1959" w:type="dxa"/>
            <w:tcBorders>
              <w:top w:val="single" w:sz="4" w:space="0" w:color="000000"/>
              <w:left w:val="single" w:sz="4" w:space="0" w:color="000000"/>
              <w:bottom w:val="single" w:sz="4" w:space="0" w:color="000000"/>
              <w:right w:val="single" w:sz="4" w:space="0" w:color="000000"/>
            </w:tcBorders>
          </w:tcPr>
          <w:p w:rsidR="00A214D2" w:rsidRDefault="004838A3">
            <w:pPr>
              <w:spacing w:after="7"/>
            </w:pPr>
            <w:r>
              <w:rPr>
                <w:rFonts w:ascii="Garamond" w:eastAsia="Garamond" w:hAnsi="Garamond" w:cs="Garamond"/>
                <w:b/>
                <w:sz w:val="24"/>
              </w:rPr>
              <w:t xml:space="preserve">Omfang </w:t>
            </w:r>
          </w:p>
          <w:p w:rsidR="00A214D2" w:rsidRDefault="004838A3">
            <w:r>
              <w:rPr>
                <w:rFonts w:ascii="Garamond" w:eastAsia="Garamond" w:hAnsi="Garamond" w:cs="Garamond"/>
                <w:b/>
                <w:sz w:val="24"/>
              </w:rPr>
              <w:t xml:space="preserve"> </w:t>
            </w:r>
          </w:p>
        </w:tc>
        <w:tc>
          <w:tcPr>
            <w:tcW w:w="7672"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sz w:val="24"/>
              </w:rPr>
              <w:t xml:space="preserve">Anvendt uddannelsestid: 36 timer </w:t>
            </w:r>
          </w:p>
        </w:tc>
      </w:tr>
      <w:tr w:rsidR="00A214D2">
        <w:trPr>
          <w:trHeight w:val="3922"/>
        </w:trPr>
        <w:tc>
          <w:tcPr>
            <w:tcW w:w="1959" w:type="dxa"/>
            <w:tcBorders>
              <w:top w:val="single" w:sz="4" w:space="0" w:color="000000"/>
              <w:left w:val="single" w:sz="4" w:space="0" w:color="000000"/>
              <w:bottom w:val="single" w:sz="4" w:space="0" w:color="000000"/>
              <w:right w:val="single" w:sz="4" w:space="0" w:color="000000"/>
            </w:tcBorders>
          </w:tcPr>
          <w:p w:rsidR="00A214D2" w:rsidRDefault="004838A3">
            <w:r>
              <w:rPr>
                <w:rFonts w:ascii="Garamond" w:eastAsia="Garamond" w:hAnsi="Garamond" w:cs="Garamond"/>
                <w:b/>
                <w:sz w:val="24"/>
              </w:rPr>
              <w:t xml:space="preserve">Særlige fokuspunkter </w:t>
            </w:r>
          </w:p>
        </w:tc>
        <w:tc>
          <w:tcPr>
            <w:tcW w:w="7672" w:type="dxa"/>
            <w:tcBorders>
              <w:top w:val="single" w:sz="4" w:space="0" w:color="000000"/>
              <w:left w:val="single" w:sz="4" w:space="0" w:color="000000"/>
              <w:bottom w:val="single" w:sz="4" w:space="0" w:color="000000"/>
              <w:right w:val="single" w:sz="4" w:space="0" w:color="000000"/>
            </w:tcBorders>
          </w:tcPr>
          <w:p w:rsidR="00A214D2" w:rsidRDefault="004838A3">
            <w:pPr>
              <w:spacing w:after="68"/>
            </w:pPr>
            <w:r>
              <w:rPr>
                <w:rFonts w:ascii="Garamond" w:eastAsia="Garamond" w:hAnsi="Garamond" w:cs="Garamond"/>
                <w:sz w:val="24"/>
              </w:rPr>
              <w:t xml:space="preserve">Faglige mål fra læreplanen: </w:t>
            </w:r>
          </w:p>
          <w:p w:rsidR="00A214D2" w:rsidRDefault="004838A3">
            <w:pPr>
              <w:numPr>
                <w:ilvl w:val="0"/>
                <w:numId w:val="3"/>
              </w:numPr>
              <w:spacing w:line="239" w:lineRule="auto"/>
              <w:ind w:hanging="361"/>
            </w:pPr>
            <w:r>
              <w:rPr>
                <w:rFonts w:ascii="Garamond" w:eastAsia="Garamond" w:hAnsi="Garamond" w:cs="Garamond"/>
                <w:sz w:val="24"/>
              </w:rPr>
              <w:t xml:space="preserve">skelne mellem forskellige </w:t>
            </w:r>
            <w:proofErr w:type="spellStart"/>
            <w:r>
              <w:rPr>
                <w:rFonts w:ascii="Garamond" w:eastAsia="Garamond" w:hAnsi="Garamond" w:cs="Garamond"/>
                <w:sz w:val="24"/>
              </w:rPr>
              <w:t>vidensformer</w:t>
            </w:r>
            <w:proofErr w:type="spellEnd"/>
            <w:r>
              <w:rPr>
                <w:rFonts w:ascii="Garamond" w:eastAsia="Garamond" w:hAnsi="Garamond" w:cs="Garamond"/>
                <w:sz w:val="24"/>
              </w:rPr>
              <w:t xml:space="preserve">, sådan som de gør sig gældende på tværs af og inden for de forskellige fag og videnskabsområder. </w:t>
            </w:r>
          </w:p>
          <w:p w:rsidR="00A214D2" w:rsidRDefault="004838A3">
            <w:r>
              <w:rPr>
                <w:rFonts w:ascii="Garamond" w:eastAsia="Garamond" w:hAnsi="Garamond" w:cs="Garamond"/>
                <w:sz w:val="24"/>
              </w:rPr>
              <w:t xml:space="preserve"> </w:t>
            </w:r>
          </w:p>
          <w:p w:rsidR="00A214D2" w:rsidRDefault="004838A3">
            <w:pPr>
              <w:spacing w:after="70"/>
            </w:pPr>
            <w:r>
              <w:rPr>
                <w:rFonts w:ascii="Garamond" w:eastAsia="Garamond" w:hAnsi="Garamond" w:cs="Garamond"/>
                <w:sz w:val="24"/>
              </w:rPr>
              <w:t xml:space="preserve">Fokuspunkter: </w:t>
            </w:r>
          </w:p>
          <w:p w:rsidR="00A214D2" w:rsidRDefault="004838A3">
            <w:pPr>
              <w:numPr>
                <w:ilvl w:val="0"/>
                <w:numId w:val="3"/>
              </w:numPr>
              <w:spacing w:after="2" w:line="237" w:lineRule="auto"/>
              <w:ind w:hanging="361"/>
            </w:pPr>
            <w:r>
              <w:rPr>
                <w:rFonts w:ascii="Garamond" w:eastAsia="Garamond" w:hAnsi="Garamond" w:cs="Garamond"/>
                <w:sz w:val="24"/>
              </w:rPr>
              <w:t xml:space="preserve">Vedrører selve afgrænsningen af ”videnskab”, om videnskaben gør fremskridt og spørgsmålet om videnskabelige metoder. </w:t>
            </w:r>
          </w:p>
          <w:p w:rsidR="00A214D2" w:rsidRDefault="004838A3">
            <w:pPr>
              <w:spacing w:after="8"/>
            </w:pPr>
            <w:r>
              <w:rPr>
                <w:rFonts w:ascii="Garamond" w:eastAsia="Garamond" w:hAnsi="Garamond" w:cs="Garamond"/>
                <w:sz w:val="24"/>
              </w:rPr>
              <w:t xml:space="preserve"> </w:t>
            </w:r>
          </w:p>
          <w:p w:rsidR="00A214D2" w:rsidRDefault="004838A3">
            <w:r>
              <w:rPr>
                <w:rFonts w:ascii="Garamond" w:eastAsia="Garamond" w:hAnsi="Garamond" w:cs="Garamond"/>
                <w:sz w:val="24"/>
              </w:rPr>
              <w:t xml:space="preserve">Opgavetyper og evaluering: </w:t>
            </w:r>
          </w:p>
          <w:p w:rsidR="00A214D2" w:rsidRDefault="004838A3">
            <w:pPr>
              <w:spacing w:after="2" w:line="238" w:lineRule="auto"/>
            </w:pPr>
            <w:r>
              <w:rPr>
                <w:rFonts w:ascii="Garamond" w:eastAsia="Garamond" w:hAnsi="Garamond" w:cs="Garamond"/>
                <w:sz w:val="24"/>
              </w:rPr>
              <w:t xml:space="preserve">Evaluering i form af kommentarer og vejledning til ’ordbog i videnskabsfilosofi’ udarbejdet af kursisterne i fællesskab, samt til mundtlig fremlæggelse af fiktivt eksamensspørgsmål (video/lydfil). </w:t>
            </w:r>
          </w:p>
          <w:p w:rsidR="00A214D2" w:rsidRDefault="004838A3">
            <w:pPr>
              <w:spacing w:after="8"/>
            </w:pPr>
            <w:r>
              <w:rPr>
                <w:rFonts w:ascii="Garamond" w:eastAsia="Garamond" w:hAnsi="Garamond" w:cs="Garamond"/>
                <w:sz w:val="24"/>
              </w:rPr>
              <w:t xml:space="preserve"> </w:t>
            </w:r>
          </w:p>
          <w:p w:rsidR="00A214D2" w:rsidRDefault="004838A3">
            <w:r>
              <w:rPr>
                <w:rFonts w:ascii="Garamond" w:eastAsia="Garamond" w:hAnsi="Garamond" w:cs="Garamond"/>
                <w:sz w:val="24"/>
              </w:rPr>
              <w:t xml:space="preserve"> </w:t>
            </w:r>
          </w:p>
        </w:tc>
      </w:tr>
    </w:tbl>
    <w:p w:rsidR="00A214D2" w:rsidRDefault="004838A3">
      <w:pPr>
        <w:spacing w:after="6"/>
        <w:jc w:val="both"/>
      </w:pPr>
      <w:r>
        <w:rPr>
          <w:rFonts w:ascii="Garamond" w:eastAsia="Garamond" w:hAnsi="Garamond" w:cs="Garamond"/>
          <w:sz w:val="24"/>
        </w:rPr>
        <w:t xml:space="preserve"> </w:t>
      </w:r>
    </w:p>
    <w:p w:rsidR="00A214D2" w:rsidRDefault="004838A3">
      <w:pPr>
        <w:spacing w:after="6"/>
        <w:jc w:val="both"/>
      </w:pPr>
      <w:r>
        <w:rPr>
          <w:rFonts w:ascii="Garamond" w:eastAsia="Garamond" w:hAnsi="Garamond" w:cs="Garamond"/>
          <w:sz w:val="24"/>
        </w:rPr>
        <w:t xml:space="preserve"> </w:t>
      </w:r>
    </w:p>
    <w:p w:rsidR="00A214D2" w:rsidRDefault="004838A3">
      <w:pPr>
        <w:spacing w:after="6"/>
        <w:jc w:val="both"/>
      </w:pPr>
      <w:r>
        <w:rPr>
          <w:rFonts w:ascii="Garamond" w:eastAsia="Garamond" w:hAnsi="Garamond" w:cs="Garamond"/>
          <w:sz w:val="24"/>
        </w:rPr>
        <w:t xml:space="preserve"> </w:t>
      </w:r>
    </w:p>
    <w:p w:rsidR="00A214D2" w:rsidRDefault="004838A3">
      <w:pPr>
        <w:spacing w:after="6"/>
        <w:jc w:val="both"/>
      </w:pPr>
      <w:r>
        <w:rPr>
          <w:rFonts w:ascii="Garamond" w:eastAsia="Garamond" w:hAnsi="Garamond" w:cs="Garamond"/>
          <w:sz w:val="24"/>
        </w:rPr>
        <w:t xml:space="preserve"> </w:t>
      </w:r>
    </w:p>
    <w:p w:rsidR="00A214D2" w:rsidRDefault="004838A3">
      <w:pPr>
        <w:spacing w:after="0"/>
        <w:jc w:val="both"/>
      </w:pPr>
      <w:r>
        <w:rPr>
          <w:rFonts w:ascii="Garamond" w:eastAsia="Garamond" w:hAnsi="Garamond" w:cs="Garamond"/>
          <w:sz w:val="24"/>
        </w:rPr>
        <w:t xml:space="preserve"> </w:t>
      </w:r>
    </w:p>
    <w:sectPr w:rsidR="00A214D2">
      <w:pgSz w:w="11906" w:h="16838"/>
      <w:pgMar w:top="1138" w:right="3296" w:bottom="306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AA"/>
    <w:multiLevelType w:val="hybridMultilevel"/>
    <w:tmpl w:val="2756603C"/>
    <w:lvl w:ilvl="0" w:tplc="726C16E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281DD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D05CD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0EC87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129DD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082E1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CC24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2025E2">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B642C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F97DBE"/>
    <w:multiLevelType w:val="hybridMultilevel"/>
    <w:tmpl w:val="7DEAF756"/>
    <w:lvl w:ilvl="0" w:tplc="4758877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386E6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6ABC5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E16A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6424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06378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8A1D9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47DD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EE8F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95795A"/>
    <w:multiLevelType w:val="hybridMultilevel"/>
    <w:tmpl w:val="8C368790"/>
    <w:lvl w:ilvl="0" w:tplc="211EEBD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DC9A8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2AA63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6D20E">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90016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9A33C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2A6AC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BE6592">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10466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D2"/>
    <w:rsid w:val="001B583A"/>
    <w:rsid w:val="004838A3"/>
    <w:rsid w:val="00695D31"/>
    <w:rsid w:val="00A214D2"/>
    <w:rsid w:val="00E278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98E1"/>
  <w15:docId w15:val="{29084534-433E-460C-BB46-ABE6A6ED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VUC Roskilde</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Kvuc Kvuc</dc:creator>
  <cp:keywords/>
  <cp:lastModifiedBy>Peter Friis</cp:lastModifiedBy>
  <cp:revision>2</cp:revision>
  <dcterms:created xsi:type="dcterms:W3CDTF">2020-11-11T10:12:00Z</dcterms:created>
  <dcterms:modified xsi:type="dcterms:W3CDTF">2020-11-11T10:12:00Z</dcterms:modified>
</cp:coreProperties>
</file>